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DEB8" w14:textId="5EA201CF" w:rsidR="009B5124" w:rsidRPr="009540FE" w:rsidRDefault="00E136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E048E2" w:rsidRPr="00C9291F">
        <w:rPr>
          <w:b/>
          <w:bCs/>
          <w:sz w:val="28"/>
          <w:szCs w:val="28"/>
        </w:rPr>
        <w:t>oDoCo</w:t>
      </w:r>
      <w:r w:rsidR="009540FE">
        <w:rPr>
          <w:b/>
          <w:bCs/>
          <w:sz w:val="28"/>
          <w:szCs w:val="28"/>
        </w:rPr>
        <w:t xml:space="preserve">-apurahat kevät </w:t>
      </w:r>
      <w:r w:rsidR="00153CD1">
        <w:rPr>
          <w:b/>
          <w:bCs/>
          <w:sz w:val="28"/>
          <w:szCs w:val="28"/>
        </w:rPr>
        <w:t>2024</w:t>
      </w:r>
    </w:p>
    <w:tbl>
      <w:tblPr>
        <w:tblStyle w:val="TaulukkoRuudukko"/>
        <w:tblW w:w="9634" w:type="dxa"/>
        <w:tblLayout w:type="fixed"/>
        <w:tblLook w:val="04A0" w:firstRow="1" w:lastRow="0" w:firstColumn="1" w:lastColumn="0" w:noHBand="0" w:noVBand="1"/>
      </w:tblPr>
      <w:tblGrid>
        <w:gridCol w:w="1862"/>
        <w:gridCol w:w="1758"/>
        <w:gridCol w:w="3531"/>
        <w:gridCol w:w="2483"/>
      </w:tblGrid>
      <w:tr w:rsidR="00153CD1" w:rsidRPr="004405FE" w14:paraId="195C011B" w14:textId="77777777" w:rsidTr="00153CD1">
        <w:trPr>
          <w:trHeight w:val="442"/>
        </w:trPr>
        <w:tc>
          <w:tcPr>
            <w:tcW w:w="1862" w:type="dxa"/>
            <w:shd w:val="clear" w:color="auto" w:fill="F2F2F2" w:themeFill="background1" w:themeFillShade="F2"/>
            <w:vAlign w:val="center"/>
            <w:hideMark/>
          </w:tcPr>
          <w:p w14:paraId="4CD9D3EE" w14:textId="1765BFA8" w:rsidR="00153CD1" w:rsidRPr="00F02AE7" w:rsidRDefault="00153CD1" w:rsidP="00F02AE7">
            <w:pPr>
              <w:jc w:val="center"/>
              <w:rPr>
                <w:b/>
                <w:bCs/>
              </w:rPr>
            </w:pPr>
            <w:r w:rsidRPr="00F02AE7">
              <w:rPr>
                <w:b/>
                <w:bCs/>
              </w:rPr>
              <w:t>Hakija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  <w:hideMark/>
          </w:tcPr>
          <w:p w14:paraId="5BA441C7" w14:textId="1A3F19DF" w:rsidR="00153CD1" w:rsidRPr="00F02AE7" w:rsidRDefault="00153CD1" w:rsidP="00F02AE7">
            <w:pPr>
              <w:jc w:val="center"/>
              <w:rPr>
                <w:b/>
                <w:bCs/>
              </w:rPr>
            </w:pPr>
            <w:r w:rsidRPr="00F02AE7">
              <w:rPr>
                <w:b/>
                <w:bCs/>
              </w:rPr>
              <w:t>Yritys</w:t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  <w:hideMark/>
          </w:tcPr>
          <w:p w14:paraId="477C53D9" w14:textId="25FC124F" w:rsidR="00153CD1" w:rsidRPr="00F02AE7" w:rsidRDefault="00153CD1" w:rsidP="00F02AE7">
            <w:pPr>
              <w:jc w:val="center"/>
              <w:rPr>
                <w:b/>
                <w:bCs/>
                <w:lang w:val="en-GB"/>
              </w:rPr>
            </w:pPr>
            <w:r w:rsidRPr="00F02AE7">
              <w:rPr>
                <w:b/>
                <w:bCs/>
                <w:lang w:val="en-GB"/>
              </w:rPr>
              <w:t>Hankkeen nimi</w:t>
            </w:r>
          </w:p>
        </w:tc>
        <w:tc>
          <w:tcPr>
            <w:tcW w:w="2483" w:type="dxa"/>
            <w:shd w:val="clear" w:color="auto" w:fill="F2F2F2" w:themeFill="background1" w:themeFillShade="F2"/>
            <w:vAlign w:val="center"/>
            <w:hideMark/>
          </w:tcPr>
          <w:p w14:paraId="1750FF3A" w14:textId="615D9B52" w:rsidR="00153CD1" w:rsidRPr="00F02AE7" w:rsidRDefault="00153CD1" w:rsidP="00F02AE7">
            <w:pPr>
              <w:jc w:val="center"/>
              <w:rPr>
                <w:b/>
                <w:bCs/>
              </w:rPr>
            </w:pPr>
            <w:r w:rsidRPr="00F02AE7">
              <w:rPr>
                <w:b/>
                <w:bCs/>
              </w:rPr>
              <w:t>Säätiö</w:t>
            </w:r>
          </w:p>
        </w:tc>
      </w:tr>
      <w:tr w:rsidR="00153CD1" w:rsidRPr="00616528" w14:paraId="76E9E56D" w14:textId="77777777" w:rsidTr="00153CD1">
        <w:trPr>
          <w:trHeight w:val="459"/>
        </w:trPr>
        <w:tc>
          <w:tcPr>
            <w:tcW w:w="1862" w:type="dxa"/>
            <w:vAlign w:val="center"/>
          </w:tcPr>
          <w:p w14:paraId="67BB718F" w14:textId="7D6E2830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Koivunotko Elle</w:t>
            </w:r>
          </w:p>
        </w:tc>
        <w:tc>
          <w:tcPr>
            <w:tcW w:w="1758" w:type="dxa"/>
            <w:vAlign w:val="center"/>
          </w:tcPr>
          <w:p w14:paraId="1D006520" w14:textId="0608BFF0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UPM-Kymmene Corporation, UPM Biomedicals</w:t>
            </w:r>
          </w:p>
        </w:tc>
        <w:tc>
          <w:tcPr>
            <w:tcW w:w="3531" w:type="dxa"/>
            <w:vAlign w:val="center"/>
          </w:tcPr>
          <w:p w14:paraId="33343EDD" w14:textId="18B80F77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Nanofibrillated cellulose hydrogel for vascular tissue models and regenerative therapy</w:t>
            </w:r>
          </w:p>
        </w:tc>
        <w:tc>
          <w:tcPr>
            <w:tcW w:w="2483" w:type="dxa"/>
            <w:vAlign w:val="center"/>
          </w:tcPr>
          <w:p w14:paraId="0755855D" w14:textId="2F34D2DF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Jenny ja Antti </w:t>
            </w:r>
            <w:r w:rsidRPr="0010267C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10267C">
              <w:rPr>
                <w:rFonts w:cstheme="minorHAnsi"/>
                <w:sz w:val="20"/>
                <w:szCs w:val="20"/>
              </w:rPr>
              <w:t>huri</w:t>
            </w:r>
            <w:r>
              <w:rPr>
                <w:rFonts w:cstheme="minorHAnsi"/>
                <w:sz w:val="20"/>
                <w:szCs w:val="20"/>
              </w:rPr>
              <w:t>n rahasto</w:t>
            </w:r>
          </w:p>
        </w:tc>
      </w:tr>
      <w:tr w:rsidR="00153CD1" w:rsidRPr="00616528" w14:paraId="65117055" w14:textId="77777777" w:rsidTr="00153CD1">
        <w:trPr>
          <w:trHeight w:val="459"/>
        </w:trPr>
        <w:tc>
          <w:tcPr>
            <w:tcW w:w="1862" w:type="dxa"/>
            <w:vAlign w:val="center"/>
          </w:tcPr>
          <w:p w14:paraId="0613709E" w14:textId="756B0D57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Rai Neha</w:t>
            </w:r>
          </w:p>
        </w:tc>
        <w:tc>
          <w:tcPr>
            <w:tcW w:w="1758" w:type="dxa"/>
            <w:vAlign w:val="center"/>
          </w:tcPr>
          <w:p w14:paraId="32D4027D" w14:textId="26EBB925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Greenlux Lighting Solutions Ltd.</w:t>
            </w:r>
          </w:p>
        </w:tc>
        <w:tc>
          <w:tcPr>
            <w:tcW w:w="3531" w:type="dxa"/>
            <w:vAlign w:val="center"/>
          </w:tcPr>
          <w:p w14:paraId="0A704BE2" w14:textId="3C2A81B4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Using novel LEDs to improve energy yield and harvest quality in greenhouse and vertical farms</w:t>
            </w:r>
          </w:p>
        </w:tc>
        <w:tc>
          <w:tcPr>
            <w:tcW w:w="2483" w:type="dxa"/>
            <w:vAlign w:val="center"/>
          </w:tcPr>
          <w:p w14:paraId="33A1E66B" w14:textId="1F6D3AB1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67C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ekniikan edistämissäätiö</w:t>
            </w:r>
          </w:p>
        </w:tc>
      </w:tr>
      <w:tr w:rsidR="00153CD1" w:rsidRPr="00616528" w14:paraId="7491B9E5" w14:textId="77777777" w:rsidTr="00153CD1">
        <w:trPr>
          <w:trHeight w:val="459"/>
        </w:trPr>
        <w:tc>
          <w:tcPr>
            <w:tcW w:w="1862" w:type="dxa"/>
            <w:vAlign w:val="center"/>
          </w:tcPr>
          <w:p w14:paraId="690F686F" w14:textId="121B4A74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Annurakshita Shambhavee</w:t>
            </w:r>
          </w:p>
        </w:tc>
        <w:tc>
          <w:tcPr>
            <w:tcW w:w="1758" w:type="dxa"/>
            <w:vAlign w:val="center"/>
          </w:tcPr>
          <w:p w14:paraId="0F265852" w14:textId="3C03F059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Brinter Oy</w:t>
            </w:r>
          </w:p>
        </w:tc>
        <w:tc>
          <w:tcPr>
            <w:tcW w:w="3531" w:type="dxa"/>
            <w:vAlign w:val="center"/>
          </w:tcPr>
          <w:p w14:paraId="4D170E24" w14:textId="7E28669D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Photo-crosslinkable Hydrogels-based Bioinks for the Digital Light Processing and Extrusion-based Bioprinting</w:t>
            </w:r>
          </w:p>
        </w:tc>
        <w:tc>
          <w:tcPr>
            <w:tcW w:w="2483" w:type="dxa"/>
            <w:vAlign w:val="center"/>
          </w:tcPr>
          <w:p w14:paraId="0FD835B9" w14:textId="6285F8EF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Jenny ja Antti </w:t>
            </w:r>
            <w:r w:rsidRPr="0010267C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10267C">
              <w:rPr>
                <w:rFonts w:cstheme="minorHAnsi"/>
                <w:sz w:val="20"/>
                <w:szCs w:val="20"/>
              </w:rPr>
              <w:t>huri</w:t>
            </w:r>
            <w:r>
              <w:rPr>
                <w:rFonts w:cstheme="minorHAnsi"/>
                <w:sz w:val="20"/>
                <w:szCs w:val="20"/>
              </w:rPr>
              <w:t>n rahasto</w:t>
            </w:r>
          </w:p>
        </w:tc>
      </w:tr>
      <w:tr w:rsidR="00153CD1" w:rsidRPr="00616528" w14:paraId="3946B8AF" w14:textId="77777777" w:rsidTr="00153CD1">
        <w:trPr>
          <w:trHeight w:val="413"/>
        </w:trPr>
        <w:tc>
          <w:tcPr>
            <w:tcW w:w="1862" w:type="dxa"/>
            <w:vAlign w:val="center"/>
          </w:tcPr>
          <w:p w14:paraId="15956F2B" w14:textId="5387C039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Saafi Salwa</w:t>
            </w:r>
          </w:p>
        </w:tc>
        <w:tc>
          <w:tcPr>
            <w:tcW w:w="1758" w:type="dxa"/>
            <w:vAlign w:val="center"/>
          </w:tcPr>
          <w:p w14:paraId="20D68A88" w14:textId="19E63196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de-DE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de-DE"/>
              </w:rPr>
              <w:t>Oy L M Ericsson Ab</w:t>
            </w:r>
          </w:p>
        </w:tc>
        <w:tc>
          <w:tcPr>
            <w:tcW w:w="3531" w:type="dxa"/>
            <w:vAlign w:val="center"/>
          </w:tcPr>
          <w:p w14:paraId="618D48F0" w14:textId="2F090A08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Unifying Mobility Management Methods for 6G Cellular</w:t>
            </w:r>
          </w:p>
        </w:tc>
        <w:tc>
          <w:tcPr>
            <w:tcW w:w="2483" w:type="dxa"/>
            <w:vAlign w:val="center"/>
          </w:tcPr>
          <w:p w14:paraId="505DCB22" w14:textId="753763F8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67C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ekniikan edistämissäätiö</w:t>
            </w:r>
          </w:p>
        </w:tc>
      </w:tr>
      <w:tr w:rsidR="00153CD1" w:rsidRPr="00616528" w14:paraId="26572FE5" w14:textId="77777777" w:rsidTr="00153CD1">
        <w:trPr>
          <w:trHeight w:val="570"/>
        </w:trPr>
        <w:tc>
          <w:tcPr>
            <w:tcW w:w="1862" w:type="dxa"/>
            <w:vAlign w:val="center"/>
          </w:tcPr>
          <w:p w14:paraId="6927E98A" w14:textId="72EC1455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Ahmad Naveed</w:t>
            </w:r>
          </w:p>
        </w:tc>
        <w:tc>
          <w:tcPr>
            <w:tcW w:w="1758" w:type="dxa"/>
            <w:vAlign w:val="center"/>
          </w:tcPr>
          <w:p w14:paraId="3B37366A" w14:textId="65D4F4CA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Probiont Oy</w:t>
            </w:r>
          </w:p>
        </w:tc>
        <w:tc>
          <w:tcPr>
            <w:tcW w:w="3531" w:type="dxa"/>
            <w:vAlign w:val="center"/>
          </w:tcPr>
          <w:p w14:paraId="502F4DD5" w14:textId="35BFE996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Development of Microfluidics Platform for the Detection of Urine Cancer Biomarkers in Mouse Kidney Cancer Model</w:t>
            </w:r>
          </w:p>
        </w:tc>
        <w:tc>
          <w:tcPr>
            <w:tcW w:w="2483" w:type="dxa"/>
            <w:vAlign w:val="center"/>
          </w:tcPr>
          <w:p w14:paraId="210A61D0" w14:textId="54703205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Jenny ja Antti </w:t>
            </w:r>
            <w:r w:rsidRPr="0010267C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10267C">
              <w:rPr>
                <w:rFonts w:cstheme="minorHAnsi"/>
                <w:sz w:val="20"/>
                <w:szCs w:val="20"/>
              </w:rPr>
              <w:t>huri</w:t>
            </w:r>
            <w:r>
              <w:rPr>
                <w:rFonts w:cstheme="minorHAnsi"/>
                <w:sz w:val="20"/>
                <w:szCs w:val="20"/>
              </w:rPr>
              <w:t>n rahasto</w:t>
            </w:r>
          </w:p>
        </w:tc>
      </w:tr>
      <w:tr w:rsidR="00153CD1" w:rsidRPr="00616528" w14:paraId="48EC3CF3" w14:textId="77777777" w:rsidTr="00153CD1">
        <w:trPr>
          <w:trHeight w:val="459"/>
        </w:trPr>
        <w:tc>
          <w:tcPr>
            <w:tcW w:w="1862" w:type="dxa"/>
            <w:vAlign w:val="center"/>
          </w:tcPr>
          <w:p w14:paraId="79D53B08" w14:textId="46BD5C29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Bendes Ábris Ádám</w:t>
            </w:r>
          </w:p>
        </w:tc>
        <w:tc>
          <w:tcPr>
            <w:tcW w:w="1758" w:type="dxa"/>
            <w:vAlign w:val="center"/>
          </w:tcPr>
          <w:p w14:paraId="04468FC1" w14:textId="69855CDF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Faron Pharmaceuticals Ltd</w:t>
            </w:r>
          </w:p>
        </w:tc>
        <w:tc>
          <w:tcPr>
            <w:tcW w:w="3531" w:type="dxa"/>
            <w:vAlign w:val="center"/>
          </w:tcPr>
          <w:p w14:paraId="22059DAE" w14:textId="3C48B7E5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Expanding the Toolbox for Targeted Oncotherapy</w:t>
            </w:r>
          </w:p>
        </w:tc>
        <w:tc>
          <w:tcPr>
            <w:tcW w:w="2483" w:type="dxa"/>
            <w:vAlign w:val="center"/>
          </w:tcPr>
          <w:p w14:paraId="40383F96" w14:textId="62233655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67C">
              <w:rPr>
                <w:rFonts w:cstheme="minorHAnsi"/>
                <w:sz w:val="20"/>
                <w:szCs w:val="20"/>
              </w:rPr>
              <w:t>Svenska Kulturfonden</w:t>
            </w:r>
          </w:p>
        </w:tc>
      </w:tr>
      <w:tr w:rsidR="00153CD1" w:rsidRPr="00616528" w14:paraId="440D9BB8" w14:textId="77777777" w:rsidTr="00153CD1">
        <w:trPr>
          <w:trHeight w:val="459"/>
        </w:trPr>
        <w:tc>
          <w:tcPr>
            <w:tcW w:w="1862" w:type="dxa"/>
            <w:vAlign w:val="center"/>
          </w:tcPr>
          <w:p w14:paraId="29EB1FDA" w14:textId="7E237B5B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Kerppo Oskari</w:t>
            </w:r>
          </w:p>
        </w:tc>
        <w:tc>
          <w:tcPr>
            <w:tcW w:w="1758" w:type="dxa"/>
            <w:vAlign w:val="center"/>
          </w:tcPr>
          <w:p w14:paraId="3C31C56A" w14:textId="3240581B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Quanscient Oy</w:t>
            </w:r>
          </w:p>
        </w:tc>
        <w:tc>
          <w:tcPr>
            <w:tcW w:w="3531" w:type="dxa"/>
            <w:vAlign w:val="center"/>
          </w:tcPr>
          <w:p w14:paraId="5C6F3777" w14:textId="6980DBFF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Enhancing multiphysics simulations on quantum hardware through efficient quantum register initialization</w:t>
            </w:r>
          </w:p>
        </w:tc>
        <w:tc>
          <w:tcPr>
            <w:tcW w:w="2483" w:type="dxa"/>
            <w:vAlign w:val="center"/>
          </w:tcPr>
          <w:p w14:paraId="7F7B9B9C" w14:textId="04F3209A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67C">
              <w:rPr>
                <w:rFonts w:cstheme="minorHAnsi"/>
                <w:sz w:val="20"/>
                <w:szCs w:val="20"/>
              </w:rPr>
              <w:t>KAUTE</w:t>
            </w:r>
          </w:p>
        </w:tc>
      </w:tr>
      <w:tr w:rsidR="00153CD1" w:rsidRPr="00616528" w14:paraId="086D4289" w14:textId="77777777" w:rsidTr="00153CD1">
        <w:trPr>
          <w:trHeight w:val="459"/>
        </w:trPr>
        <w:tc>
          <w:tcPr>
            <w:tcW w:w="1862" w:type="dxa"/>
            <w:vAlign w:val="center"/>
          </w:tcPr>
          <w:p w14:paraId="591BB8FC" w14:textId="21A48B41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Bin Qaim Waleed</w:t>
            </w:r>
          </w:p>
        </w:tc>
        <w:tc>
          <w:tcPr>
            <w:tcW w:w="1758" w:type="dxa"/>
            <w:vAlign w:val="center"/>
          </w:tcPr>
          <w:p w14:paraId="17947EE8" w14:textId="407F0F7C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Haltian</w:t>
            </w:r>
          </w:p>
        </w:tc>
        <w:tc>
          <w:tcPr>
            <w:tcW w:w="3531" w:type="dxa"/>
            <w:vAlign w:val="center"/>
          </w:tcPr>
          <w:p w14:paraId="36D53837" w14:textId="6581DDD6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Optimizing performance of smart wearable devices by utilizing novel Artificial Intelligence (AI) and Edge Computing solutions</w:t>
            </w:r>
          </w:p>
        </w:tc>
        <w:tc>
          <w:tcPr>
            <w:tcW w:w="2483" w:type="dxa"/>
            <w:vAlign w:val="center"/>
          </w:tcPr>
          <w:p w14:paraId="0F0686C7" w14:textId="38E7895C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Liikesivistysrahasto</w:t>
            </w:r>
          </w:p>
        </w:tc>
      </w:tr>
      <w:tr w:rsidR="00153CD1" w:rsidRPr="00616528" w14:paraId="7860617D" w14:textId="77777777" w:rsidTr="00153CD1">
        <w:trPr>
          <w:trHeight w:val="459"/>
        </w:trPr>
        <w:tc>
          <w:tcPr>
            <w:tcW w:w="1862" w:type="dxa"/>
            <w:vAlign w:val="center"/>
          </w:tcPr>
          <w:p w14:paraId="629E24C2" w14:textId="5132A018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Karjalainen Mikael</w:t>
            </w:r>
          </w:p>
        </w:tc>
        <w:tc>
          <w:tcPr>
            <w:tcW w:w="1758" w:type="dxa"/>
            <w:vAlign w:val="center"/>
          </w:tcPr>
          <w:p w14:paraId="67F52002" w14:textId="1E34AB36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BiopSense Oy</w:t>
            </w:r>
          </w:p>
        </w:tc>
        <w:tc>
          <w:tcPr>
            <w:tcW w:w="3531" w:type="dxa"/>
            <w:vAlign w:val="center"/>
          </w:tcPr>
          <w:p w14:paraId="41D9DE65" w14:textId="6598FF12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Automating RNA processing for liquid biopsies</w:t>
            </w:r>
          </w:p>
        </w:tc>
        <w:tc>
          <w:tcPr>
            <w:tcW w:w="2483" w:type="dxa"/>
            <w:vAlign w:val="center"/>
          </w:tcPr>
          <w:p w14:paraId="706F496A" w14:textId="043A58B0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Jenny ja Antti </w:t>
            </w:r>
            <w:r w:rsidRPr="0010267C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10267C">
              <w:rPr>
                <w:rFonts w:cstheme="minorHAnsi"/>
                <w:sz w:val="20"/>
                <w:szCs w:val="20"/>
              </w:rPr>
              <w:t>huri</w:t>
            </w:r>
            <w:r>
              <w:rPr>
                <w:rFonts w:cstheme="minorHAnsi"/>
                <w:sz w:val="20"/>
                <w:szCs w:val="20"/>
              </w:rPr>
              <w:t>n rahasto</w:t>
            </w:r>
          </w:p>
        </w:tc>
      </w:tr>
      <w:tr w:rsidR="00153CD1" w:rsidRPr="00616528" w14:paraId="2AB61D06" w14:textId="77777777" w:rsidTr="00153CD1">
        <w:trPr>
          <w:trHeight w:val="459"/>
        </w:trPr>
        <w:tc>
          <w:tcPr>
            <w:tcW w:w="1862" w:type="dxa"/>
            <w:vAlign w:val="center"/>
          </w:tcPr>
          <w:p w14:paraId="2488ED86" w14:textId="6746A39C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Mourouvin Rayane</w:t>
            </w:r>
          </w:p>
        </w:tc>
        <w:tc>
          <w:tcPr>
            <w:tcW w:w="1758" w:type="dxa"/>
            <w:vAlign w:val="center"/>
          </w:tcPr>
          <w:p w14:paraId="340D03EC" w14:textId="1BFF7B1B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ABB Oy Drives</w:t>
            </w:r>
          </w:p>
        </w:tc>
        <w:tc>
          <w:tcPr>
            <w:tcW w:w="3531" w:type="dxa"/>
            <w:vAlign w:val="center"/>
          </w:tcPr>
          <w:p w14:paraId="725C5131" w14:textId="33226FB6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Modeling and control of grid converters with regulated AC- and DC-voltages</w:t>
            </w:r>
          </w:p>
        </w:tc>
        <w:tc>
          <w:tcPr>
            <w:tcW w:w="2483" w:type="dxa"/>
            <w:vAlign w:val="center"/>
          </w:tcPr>
          <w:p w14:paraId="5B717584" w14:textId="50DF3F14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Jenny ja Antti </w:t>
            </w:r>
            <w:r w:rsidRPr="0010267C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10267C">
              <w:rPr>
                <w:rFonts w:cstheme="minorHAnsi"/>
                <w:sz w:val="20"/>
                <w:szCs w:val="20"/>
              </w:rPr>
              <w:t>huri</w:t>
            </w:r>
            <w:r>
              <w:rPr>
                <w:rFonts w:cstheme="minorHAnsi"/>
                <w:sz w:val="20"/>
                <w:szCs w:val="20"/>
              </w:rPr>
              <w:t>n rahasto</w:t>
            </w:r>
          </w:p>
        </w:tc>
      </w:tr>
      <w:tr w:rsidR="00153CD1" w:rsidRPr="00616528" w14:paraId="5193CFA9" w14:textId="77777777" w:rsidTr="00153CD1">
        <w:trPr>
          <w:trHeight w:val="459"/>
        </w:trPr>
        <w:tc>
          <w:tcPr>
            <w:tcW w:w="1862" w:type="dxa"/>
            <w:vAlign w:val="center"/>
          </w:tcPr>
          <w:p w14:paraId="27844161" w14:textId="7D5FB34E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Mokhtari Samira</w:t>
            </w:r>
          </w:p>
        </w:tc>
        <w:tc>
          <w:tcPr>
            <w:tcW w:w="1758" w:type="dxa"/>
            <w:vAlign w:val="center"/>
          </w:tcPr>
          <w:p w14:paraId="17CCE3AF" w14:textId="5B6EA1CF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Porlammin Meijeri Oy</w:t>
            </w:r>
          </w:p>
        </w:tc>
        <w:tc>
          <w:tcPr>
            <w:tcW w:w="3531" w:type="dxa"/>
            <w:vAlign w:val="center"/>
          </w:tcPr>
          <w:p w14:paraId="2A4761F4" w14:textId="3E426062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Accelerating cheese ripening and improving properties of vegan cheese by using Lactococcus lactis LAC460 as a novel lytic bacteriocin producer</w:t>
            </w:r>
          </w:p>
        </w:tc>
        <w:tc>
          <w:tcPr>
            <w:tcW w:w="2483" w:type="dxa"/>
            <w:vAlign w:val="center"/>
          </w:tcPr>
          <w:p w14:paraId="6466A9FA" w14:textId="69032677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Liikesivistysrahasto</w:t>
            </w:r>
          </w:p>
        </w:tc>
      </w:tr>
      <w:tr w:rsidR="00153CD1" w:rsidRPr="00616528" w14:paraId="087BB7F7" w14:textId="77777777" w:rsidTr="00153CD1">
        <w:trPr>
          <w:trHeight w:val="464"/>
        </w:trPr>
        <w:tc>
          <w:tcPr>
            <w:tcW w:w="1862" w:type="dxa"/>
            <w:vAlign w:val="center"/>
          </w:tcPr>
          <w:p w14:paraId="2E925931" w14:textId="1E3A4444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</w:rPr>
              <w:t>Erawijantari Pande Putu</w:t>
            </w:r>
          </w:p>
        </w:tc>
        <w:tc>
          <w:tcPr>
            <w:tcW w:w="1758" w:type="dxa"/>
            <w:vAlign w:val="center"/>
          </w:tcPr>
          <w:p w14:paraId="3F747BA0" w14:textId="3C59AAE9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Orion Corporation, Orion Pharma, Animal Health</w:t>
            </w:r>
          </w:p>
        </w:tc>
        <w:tc>
          <w:tcPr>
            <w:tcW w:w="3531" w:type="dxa"/>
            <w:vAlign w:val="center"/>
          </w:tcPr>
          <w:p w14:paraId="72B78642" w14:textId="56FE8E0D" w:rsidR="00153CD1" w:rsidRPr="006D46D3" w:rsidRDefault="00153CD1" w:rsidP="00426457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6D46D3">
              <w:rPr>
                <w:rFonts w:cstheme="minorHAnsi"/>
                <w:color w:val="000000"/>
                <w:sz w:val="20"/>
                <w:szCs w:val="20"/>
                <w:lang w:val="en-US"/>
              </w:rPr>
              <w:t>The metabolic capability of healthy hen gut microbiome in promoting animal health</w:t>
            </w:r>
          </w:p>
        </w:tc>
        <w:tc>
          <w:tcPr>
            <w:tcW w:w="2483" w:type="dxa"/>
            <w:vAlign w:val="center"/>
          </w:tcPr>
          <w:p w14:paraId="2069735F" w14:textId="0B68FC9C" w:rsidR="00153CD1" w:rsidRPr="0010267C" w:rsidRDefault="00153CD1" w:rsidP="0042645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Jenny ja Antti </w:t>
            </w:r>
            <w:r w:rsidRPr="0010267C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10267C">
              <w:rPr>
                <w:rFonts w:cstheme="minorHAnsi"/>
                <w:sz w:val="20"/>
                <w:szCs w:val="20"/>
              </w:rPr>
              <w:t>huri</w:t>
            </w:r>
            <w:r>
              <w:rPr>
                <w:rFonts w:cstheme="minorHAnsi"/>
                <w:sz w:val="20"/>
                <w:szCs w:val="20"/>
              </w:rPr>
              <w:t>n rahasto</w:t>
            </w:r>
          </w:p>
        </w:tc>
      </w:tr>
    </w:tbl>
    <w:p w14:paraId="6F9AC0BA" w14:textId="346FBC9D" w:rsidR="000F0AE5" w:rsidRDefault="000F0AE5"/>
    <w:p w14:paraId="727F451C" w14:textId="36DEDB16" w:rsidR="004405FE" w:rsidRDefault="004405FE"/>
    <w:p w14:paraId="00262E0C" w14:textId="77777777" w:rsidR="004219A2" w:rsidRDefault="004219A2"/>
    <w:p w14:paraId="4DCAB931" w14:textId="77777777" w:rsidR="0019645C" w:rsidRDefault="0019645C"/>
    <w:sectPr w:rsidR="0019645C" w:rsidSect="0010267C">
      <w:headerReference w:type="default" r:id="rId8"/>
      <w:pgSz w:w="11906" w:h="16838" w:code="9"/>
      <w:pgMar w:top="720" w:right="720" w:bottom="113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61050" w14:textId="77777777" w:rsidR="00B9530B" w:rsidRDefault="00B9530B" w:rsidP="008C5F18">
      <w:pPr>
        <w:spacing w:after="0" w:line="240" w:lineRule="auto"/>
      </w:pPr>
      <w:r>
        <w:separator/>
      </w:r>
    </w:p>
  </w:endnote>
  <w:endnote w:type="continuationSeparator" w:id="0">
    <w:p w14:paraId="389BF9A8" w14:textId="77777777" w:rsidR="00B9530B" w:rsidRDefault="00B9530B" w:rsidP="008C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86FB" w14:textId="77777777" w:rsidR="00B9530B" w:rsidRDefault="00B9530B" w:rsidP="008C5F18">
      <w:pPr>
        <w:spacing w:after="0" w:line="240" w:lineRule="auto"/>
      </w:pPr>
      <w:r>
        <w:separator/>
      </w:r>
    </w:p>
  </w:footnote>
  <w:footnote w:type="continuationSeparator" w:id="0">
    <w:p w14:paraId="09561D4E" w14:textId="77777777" w:rsidR="00B9530B" w:rsidRDefault="00B9530B" w:rsidP="008C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629089"/>
      <w:docPartObj>
        <w:docPartGallery w:val="Page Numbers (Top of Page)"/>
        <w:docPartUnique/>
      </w:docPartObj>
    </w:sdtPr>
    <w:sdtEndPr/>
    <w:sdtContent>
      <w:p w14:paraId="4DE43B94" w14:textId="590A4E90" w:rsidR="008C5F18" w:rsidRDefault="008C5F1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11C1C" w14:textId="77777777" w:rsidR="008C5F18" w:rsidRDefault="008C5F1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63A3E"/>
    <w:multiLevelType w:val="hybridMultilevel"/>
    <w:tmpl w:val="F1B0968E"/>
    <w:lvl w:ilvl="0" w:tplc="BB02ED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9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24"/>
    <w:rsid w:val="000123CE"/>
    <w:rsid w:val="0002012E"/>
    <w:rsid w:val="00023E92"/>
    <w:rsid w:val="00034458"/>
    <w:rsid w:val="00036B14"/>
    <w:rsid w:val="00056CD6"/>
    <w:rsid w:val="00065843"/>
    <w:rsid w:val="000672C4"/>
    <w:rsid w:val="000769A4"/>
    <w:rsid w:val="000856C1"/>
    <w:rsid w:val="00086498"/>
    <w:rsid w:val="00093394"/>
    <w:rsid w:val="000D2E2A"/>
    <w:rsid w:val="000D4EAE"/>
    <w:rsid w:val="000E5300"/>
    <w:rsid w:val="000F0AE5"/>
    <w:rsid w:val="00100D62"/>
    <w:rsid w:val="0010267C"/>
    <w:rsid w:val="00132A8F"/>
    <w:rsid w:val="001335B2"/>
    <w:rsid w:val="00153CD1"/>
    <w:rsid w:val="00180266"/>
    <w:rsid w:val="0019645C"/>
    <w:rsid w:val="001A3F33"/>
    <w:rsid w:val="001C78FD"/>
    <w:rsid w:val="001E01D0"/>
    <w:rsid w:val="001E36B6"/>
    <w:rsid w:val="001F6649"/>
    <w:rsid w:val="00202D25"/>
    <w:rsid w:val="00210A41"/>
    <w:rsid w:val="00214396"/>
    <w:rsid w:val="002258DC"/>
    <w:rsid w:val="00226427"/>
    <w:rsid w:val="002430B1"/>
    <w:rsid w:val="00247AA4"/>
    <w:rsid w:val="0025281A"/>
    <w:rsid w:val="00262272"/>
    <w:rsid w:val="0026297F"/>
    <w:rsid w:val="0026768F"/>
    <w:rsid w:val="002B1F2E"/>
    <w:rsid w:val="002C303E"/>
    <w:rsid w:val="002D7CEE"/>
    <w:rsid w:val="002F3A5C"/>
    <w:rsid w:val="00313AD2"/>
    <w:rsid w:val="00322B21"/>
    <w:rsid w:val="0036005C"/>
    <w:rsid w:val="00394241"/>
    <w:rsid w:val="003A775E"/>
    <w:rsid w:val="003C16F4"/>
    <w:rsid w:val="003F3F14"/>
    <w:rsid w:val="00406518"/>
    <w:rsid w:val="004219A2"/>
    <w:rsid w:val="00423DED"/>
    <w:rsid w:val="00426457"/>
    <w:rsid w:val="004342DE"/>
    <w:rsid w:val="004347BC"/>
    <w:rsid w:val="004405FE"/>
    <w:rsid w:val="004412E0"/>
    <w:rsid w:val="00473271"/>
    <w:rsid w:val="00475FC9"/>
    <w:rsid w:val="004924B8"/>
    <w:rsid w:val="004A27D6"/>
    <w:rsid w:val="004B1478"/>
    <w:rsid w:val="004B4243"/>
    <w:rsid w:val="004B56DD"/>
    <w:rsid w:val="004B6280"/>
    <w:rsid w:val="004E7F51"/>
    <w:rsid w:val="005112CD"/>
    <w:rsid w:val="0051201E"/>
    <w:rsid w:val="0052035F"/>
    <w:rsid w:val="00541929"/>
    <w:rsid w:val="0055081F"/>
    <w:rsid w:val="00565B18"/>
    <w:rsid w:val="005755CA"/>
    <w:rsid w:val="00585B6C"/>
    <w:rsid w:val="00590C53"/>
    <w:rsid w:val="00593F9C"/>
    <w:rsid w:val="00594970"/>
    <w:rsid w:val="005B07D1"/>
    <w:rsid w:val="005E001E"/>
    <w:rsid w:val="005E6D6D"/>
    <w:rsid w:val="005E7C61"/>
    <w:rsid w:val="00616528"/>
    <w:rsid w:val="006539B6"/>
    <w:rsid w:val="00663933"/>
    <w:rsid w:val="00681880"/>
    <w:rsid w:val="006A13B4"/>
    <w:rsid w:val="006A28B5"/>
    <w:rsid w:val="006B25A3"/>
    <w:rsid w:val="006C02FF"/>
    <w:rsid w:val="006C3521"/>
    <w:rsid w:val="006D46D3"/>
    <w:rsid w:val="006D532D"/>
    <w:rsid w:val="006D5440"/>
    <w:rsid w:val="006E1DF9"/>
    <w:rsid w:val="00704FB0"/>
    <w:rsid w:val="00714943"/>
    <w:rsid w:val="0072516C"/>
    <w:rsid w:val="00765A73"/>
    <w:rsid w:val="007670FE"/>
    <w:rsid w:val="00780FE1"/>
    <w:rsid w:val="007A4A74"/>
    <w:rsid w:val="007D47C7"/>
    <w:rsid w:val="007D6500"/>
    <w:rsid w:val="007E1555"/>
    <w:rsid w:val="007E7FC2"/>
    <w:rsid w:val="00822CE6"/>
    <w:rsid w:val="00824615"/>
    <w:rsid w:val="008276AD"/>
    <w:rsid w:val="00840A49"/>
    <w:rsid w:val="00851F34"/>
    <w:rsid w:val="0087356A"/>
    <w:rsid w:val="008C0A26"/>
    <w:rsid w:val="008C1123"/>
    <w:rsid w:val="008C3130"/>
    <w:rsid w:val="008C5F18"/>
    <w:rsid w:val="008C769D"/>
    <w:rsid w:val="008D39E2"/>
    <w:rsid w:val="008D7A52"/>
    <w:rsid w:val="00927678"/>
    <w:rsid w:val="009357A2"/>
    <w:rsid w:val="00942989"/>
    <w:rsid w:val="00953A94"/>
    <w:rsid w:val="009540FE"/>
    <w:rsid w:val="00955506"/>
    <w:rsid w:val="00977382"/>
    <w:rsid w:val="009B3EA9"/>
    <w:rsid w:val="009B5124"/>
    <w:rsid w:val="009B651D"/>
    <w:rsid w:val="009C2860"/>
    <w:rsid w:val="009F282D"/>
    <w:rsid w:val="009F4355"/>
    <w:rsid w:val="009F7D0E"/>
    <w:rsid w:val="00A04EC6"/>
    <w:rsid w:val="00A3400D"/>
    <w:rsid w:val="00AD76C3"/>
    <w:rsid w:val="00AE6600"/>
    <w:rsid w:val="00AE7826"/>
    <w:rsid w:val="00AF0318"/>
    <w:rsid w:val="00AF540F"/>
    <w:rsid w:val="00AF65E1"/>
    <w:rsid w:val="00B174E1"/>
    <w:rsid w:val="00B30C1C"/>
    <w:rsid w:val="00B341E4"/>
    <w:rsid w:val="00B527B4"/>
    <w:rsid w:val="00B74FA8"/>
    <w:rsid w:val="00B9530B"/>
    <w:rsid w:val="00B96F2B"/>
    <w:rsid w:val="00BD78E4"/>
    <w:rsid w:val="00BE135C"/>
    <w:rsid w:val="00BE4594"/>
    <w:rsid w:val="00BF6249"/>
    <w:rsid w:val="00C02360"/>
    <w:rsid w:val="00C06D69"/>
    <w:rsid w:val="00C6163D"/>
    <w:rsid w:val="00C70911"/>
    <w:rsid w:val="00C913A7"/>
    <w:rsid w:val="00C9291F"/>
    <w:rsid w:val="00CA451C"/>
    <w:rsid w:val="00CB0008"/>
    <w:rsid w:val="00CB028E"/>
    <w:rsid w:val="00CC0F23"/>
    <w:rsid w:val="00CF23F7"/>
    <w:rsid w:val="00CF40FE"/>
    <w:rsid w:val="00CF782E"/>
    <w:rsid w:val="00D15D02"/>
    <w:rsid w:val="00D401A3"/>
    <w:rsid w:val="00DA07F9"/>
    <w:rsid w:val="00DB275F"/>
    <w:rsid w:val="00DC467A"/>
    <w:rsid w:val="00DE2E44"/>
    <w:rsid w:val="00DF000F"/>
    <w:rsid w:val="00E048E2"/>
    <w:rsid w:val="00E136B0"/>
    <w:rsid w:val="00E66B73"/>
    <w:rsid w:val="00E81732"/>
    <w:rsid w:val="00E960AC"/>
    <w:rsid w:val="00EE2036"/>
    <w:rsid w:val="00F02AE7"/>
    <w:rsid w:val="00F73767"/>
    <w:rsid w:val="00F8695E"/>
    <w:rsid w:val="00F91A41"/>
    <w:rsid w:val="00FA233E"/>
    <w:rsid w:val="00FB4EDE"/>
    <w:rsid w:val="00FB70D9"/>
    <w:rsid w:val="00FD0043"/>
    <w:rsid w:val="00FD1293"/>
    <w:rsid w:val="00FD3FF5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B3DE"/>
  <w15:chartTrackingRefBased/>
  <w15:docId w15:val="{F2B75C06-AA9F-4D3C-AD04-F5663240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B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C5F18"/>
  </w:style>
  <w:style w:type="paragraph" w:styleId="Alatunniste">
    <w:name w:val="footer"/>
    <w:basedOn w:val="Normaali"/>
    <w:link w:val="AlatunnisteChar"/>
    <w:uiPriority w:val="99"/>
    <w:unhideWhenUsed/>
    <w:rsid w:val="008C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C5F18"/>
  </w:style>
  <w:style w:type="paragraph" w:styleId="Luettelokappale">
    <w:name w:val="List Paragraph"/>
    <w:basedOn w:val="Normaali"/>
    <w:uiPriority w:val="34"/>
    <w:qFormat/>
    <w:rsid w:val="00E1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28DFA12C36544C85AD9F1105176F45" ma:contentTypeVersion="18" ma:contentTypeDescription="Luo uusi asiakirja." ma:contentTypeScope="" ma:versionID="52d224c72d5c00755c1b2e185d13814f">
  <xsd:schema xmlns:xsd="http://www.w3.org/2001/XMLSchema" xmlns:xs="http://www.w3.org/2001/XMLSchema" xmlns:p="http://schemas.microsoft.com/office/2006/metadata/properties" xmlns:ns2="84d9e1eb-7fdd-4221-b27c-38c6ed28ad62" xmlns:ns3="3d6090d7-8c4d-4ec4-9ec5-2197c8d456c0" targetNamespace="http://schemas.microsoft.com/office/2006/metadata/properties" ma:root="true" ma:fieldsID="a4c92b25187e652ed9aae3b94e5491cc" ns2:_="" ns3:_="">
    <xsd:import namespace="84d9e1eb-7fdd-4221-b27c-38c6ed28ad62"/>
    <xsd:import namespace="3d6090d7-8c4d-4ec4-9ec5-2197c8d4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9e1eb-7fdd-4221-b27c-38c6ed28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00771a3-6705-480a-8324-83f99bc7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90d7-8c4d-4ec4-9ec5-2197c8d4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01d8e5-ac57-4e0c-b300-642a1137ca8e}" ma:internalName="TaxCatchAll" ma:showField="CatchAllData" ma:web="3d6090d7-8c4d-4ec4-9ec5-2197c8d4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9e1eb-7fdd-4221-b27c-38c6ed28ad62">
      <Terms xmlns="http://schemas.microsoft.com/office/infopath/2007/PartnerControls"/>
    </lcf76f155ced4ddcb4097134ff3c332f>
    <TaxCatchAll xmlns="3d6090d7-8c4d-4ec4-9ec5-2197c8d456c0" xsi:nil="true"/>
  </documentManagement>
</p:properties>
</file>

<file path=customXml/itemProps1.xml><?xml version="1.0" encoding="utf-8"?>
<ds:datastoreItem xmlns:ds="http://schemas.openxmlformats.org/officeDocument/2006/customXml" ds:itemID="{C2B3A564-6810-4D43-BE69-921861AB5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706C5-EC55-4537-B54C-00B3A895DB53}"/>
</file>

<file path=customXml/itemProps3.xml><?xml version="1.0" encoding="utf-8"?>
<ds:datastoreItem xmlns:ds="http://schemas.openxmlformats.org/officeDocument/2006/customXml" ds:itemID="{F2856CA5-0B86-4160-BEFD-AC846ACC69D1}"/>
</file>

<file path=customXml/itemProps4.xml><?xml version="1.0" encoding="utf-8"?>
<ds:datastoreItem xmlns:ds="http://schemas.openxmlformats.org/officeDocument/2006/customXml" ds:itemID="{F29A786B-B599-4C49-8815-611195982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 Tikkanen</dc:creator>
  <cp:keywords/>
  <dc:description/>
  <cp:lastModifiedBy>Kaisa Kaukovirta</cp:lastModifiedBy>
  <cp:revision>7</cp:revision>
  <cp:lastPrinted>2021-05-12T12:25:00Z</cp:lastPrinted>
  <dcterms:created xsi:type="dcterms:W3CDTF">2024-06-28T10:46:00Z</dcterms:created>
  <dcterms:modified xsi:type="dcterms:W3CDTF">2024-06-28T10:48:00Z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0x0101001628DFA12C36544C85AD9F1105176F45</vt:lpwstr>
  </property>
</Properties>
</file>